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УТВЕРЖДАЮ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Первый заместитель Генерального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директора - главный инженер 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АО "Сахаэнерго"</w:t>
      </w:r>
    </w:p>
    <w:p>
      <w:pPr>
        <w:pStyle w:val="Normal"/>
        <w:tabs>
          <w:tab w:val="clear" w:pos="708"/>
          <w:tab w:val="left" w:pos="709" w:leader="none"/>
        </w:tabs>
        <w:jc w:val="right"/>
        <w:rPr>
          <w:sz w:val="24"/>
          <w:szCs w:val="22"/>
        </w:rPr>
      </w:pPr>
      <w:r>
        <w:rPr>
          <w:sz w:val="24"/>
          <w:szCs w:val="22"/>
        </w:rPr>
        <w:t>______________/Копырин Н.М./</w:t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</w:p>
    <w:p>
      <w:pPr>
        <w:pStyle w:val="Style35"/>
        <w:widowControl w:val="false"/>
        <w:spacing w:before="0" w:after="198"/>
        <w:contextualSpacing/>
        <w:jc w:val="center"/>
        <w:rPr/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auto" w:val="clear"/>
          <w:em w:val="none"/>
          <w:lang w:val="en-US" w:eastAsia="ru-RU" w:bidi="ar-SA"/>
        </w:rPr>
        <w:t>ОКПД2 08.12.12.160 Поставка песчано-гравийной смеси для ДЭС Бестях, Баханы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  <w:lang w:bidi="ar-SA"/>
        </w:rPr>
      </w:pPr>
      <w:r>
        <w:rPr>
          <w:b/>
          <w:bCs/>
          <w:sz w:val="24"/>
          <w:szCs w:val="24"/>
          <w:lang w:bidi="ar-SA"/>
        </w:rPr>
      </w:r>
    </w:p>
    <w:p>
      <w:pPr>
        <w:pStyle w:val="Style35"/>
        <w:widowControl w:val="false"/>
        <w:spacing w:before="0" w:after="198"/>
        <w:contextualSpacing/>
        <w:jc w:val="center"/>
        <w:rPr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 xml:space="preserve">Лот № </w:t>
      </w:r>
      <w:r>
        <w:rPr>
          <w:rFonts w:eastAsia="Times New Roman" w:cs="Times New Roman"/>
          <w:b/>
          <w:bCs/>
          <w:i w:val="false"/>
          <w:iCs w:val="false"/>
          <w:strike w:val="false"/>
          <w:dstrike w:val="false"/>
          <w:color w:val="000000"/>
          <w:sz w:val="22"/>
          <w:szCs w:val="22"/>
          <w:u w:val="none"/>
          <w:shd w:fill="auto" w:val="clear"/>
          <w:lang w:val="ru-RU" w:eastAsia="ru-RU" w:bidi="ar-SA"/>
        </w:rPr>
        <w:t>80701-РЕМ ПРОД-2026-СахаЭ</w:t>
      </w:r>
    </w:p>
    <w:p>
      <w:pPr>
        <w:pStyle w:val="Normal"/>
        <w:jc w:val="center"/>
        <w:rPr>
          <w:rFonts w:ascii="Times New Roman" w:hAnsi="Times New Roman" w:eastAsia="Calibri" w:cs="Times New Roman"/>
          <w:b/>
          <w:bCs/>
          <w:color w:val="auto"/>
          <w:sz w:val="24"/>
          <w:szCs w:val="24"/>
          <w:lang w:val="ru-RU" w:eastAsia="ru-RU" w:bidi="ar-SA"/>
        </w:rPr>
      </w:pPr>
      <w:r>
        <w:rPr>
          <w:rFonts w:eastAsia="Calibri" w:cs="Times New Roman"/>
          <w:b/>
          <w:bCs/>
          <w:color w:val="auto"/>
          <w:sz w:val="24"/>
          <w:szCs w:val="24"/>
          <w:lang w:val="ru-RU" w:eastAsia="ru-RU" w:bidi="ar-SA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Toc124165064" w:tgtFrame="#_Toc124165064">
            <w:r>
              <w:rPr>
                <w:webHidden/>
                <w:rStyle w:val="Style14"/>
                <w:vanish w:val="false"/>
              </w:rPr>
              <w:t>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5" w:tgtFrame="#_Toc124165065">
            <w:r>
              <w:rPr>
                <w:webHidden/>
                <w:rStyle w:val="Style14"/>
                <w:iCs/>
                <w:vanish w:val="false"/>
              </w:rPr>
              <w:t>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6" w:tgtFrame="#_Toc124165066">
            <w:r>
              <w:rPr>
                <w:webHidden/>
                <w:rStyle w:val="Style14"/>
                <w:iCs/>
                <w:vanish w:val="false"/>
              </w:rPr>
              <w:t>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Наименование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67" w:tgtFrame="#_Toc124165067">
            <w:r>
              <w:rPr>
                <w:webHidden/>
                <w:rStyle w:val="Style14"/>
                <w:vanish w:val="false"/>
              </w:rPr>
              <w:t>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8" w:tgtFrame="#_Toc124165068">
            <w:r>
              <w:rPr>
                <w:webHidden/>
                <w:rStyle w:val="Style14"/>
                <w:iCs/>
                <w:vanish w:val="false"/>
              </w:rPr>
              <w:t>2.1.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Требования к объемам и срокам поставки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69" w:tgtFrame="#_Toc124165069">
            <w:r>
              <w:rPr>
                <w:webHidden/>
                <w:rStyle w:val="Style14"/>
                <w:vanish w:val="false"/>
              </w:rPr>
              <w:t>2.1.1.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_Toc124165069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>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0" w:tgtFrame="#_Toc1241650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_Toc124165070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vanish w:val="false"/>
              </w:rPr>
              <w:t>Таблица 1.1 Перечень и объем закупаемой продукции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1" w:tgtFrame="#_Toc124165071">
            <w:r>
              <w:rPr>
                <w:webHidden/>
                <w:rStyle w:val="Style14"/>
                <w:vanish w:val="false"/>
              </w:rPr>
              <w:t>2.1.2.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срокам поставки продукции и оказания сопутствующих услуг</w:t>
              <w:tab/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2" w:tgtFrame="#_Toc124165072">
            <w:r>
              <w:rPr>
                <w:webHidden/>
                <w:rStyle w:val="Style14"/>
                <w:vanish w:val="false"/>
              </w:rPr>
              <w:t>Таблица 2.1 Требования по срокам поставки продукции</w:t>
              <w:tab/>
            </w:r>
          </w:hyperlink>
          <w:r>
            <w:rPr>
              <w:vanish w:val="false"/>
            </w:rPr>
            <w:t>4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4165073" w:tgtFrame="#_Toc124165073">
            <w:r>
              <w:rPr>
                <w:webHidden/>
                <w:rStyle w:val="Style14"/>
                <w:iCs/>
                <w:vanish w:val="false"/>
              </w:rPr>
              <w:t>2.2.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качеству продукции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4" w:tgtFrame="#_Toc124165074">
            <w:r>
              <w:rPr>
                <w:webHidden/>
                <w:rStyle w:val="Style14"/>
                <w:vanish w:val="false"/>
              </w:rPr>
              <w:t>Таблица 3. Требования к продукции</w:t>
              <w:tab/>
            </w:r>
          </w:hyperlink>
          <w:r>
            <w:rPr>
              <w:vanish w:val="false"/>
            </w:rPr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165075" w:tgtFrame="#_Toc124165075">
            <w:r>
              <w:rPr>
                <w:webHidden/>
                <w:rStyle w:val="Style14"/>
                <w:vanish w:val="false"/>
              </w:rPr>
              <w:t>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  <w:tab/>
            </w:r>
          </w:hyperlink>
          <w:r>
            <w:rPr/>
            <w:t>12</w:t>
          </w:r>
          <w:r>
            <w:rPr/>
            <w:fldChar w:fldCharType="end"/>
          </w:r>
        </w:p>
      </w:sdtContent>
    </w:sdt>
    <w:p>
      <w:pPr>
        <w:pStyle w:val="Heading2"/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124165064"/>
      <w:bookmarkStart w:id="1" w:name="_Toc51339692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46743505"/>
      <w:bookmarkStart w:id="3" w:name="_Toc12416506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rPr/>
      </w:pPr>
      <w:bookmarkStart w:id="4" w:name="_Toc124165066"/>
      <w:bookmarkStart w:id="5" w:name="_Toc46743506"/>
      <w:r>
        <w:rPr/>
        <w:t>Наименование закупаемой продукции</w:t>
      </w:r>
      <w:bookmarkEnd w:id="4"/>
      <w:bookmarkEnd w:id="5"/>
    </w:p>
    <w:p>
      <w:pPr>
        <w:pStyle w:val="Style35"/>
        <w:widowControl w:val="false"/>
        <w:spacing w:before="0" w:after="198"/>
        <w:contextualSpacing/>
        <w:jc w:val="left"/>
        <w:rPr>
          <w:b w:val="false"/>
          <w:bCs w:val="false"/>
          <w:i w:val="false"/>
          <w:i w:val="false"/>
          <w:iCs w:val="false"/>
        </w:rPr>
      </w:pP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shd w:fill="auto" w:val="clear"/>
          <w:em w:val="none"/>
          <w:lang w:val="en-US" w:eastAsia="ru-RU" w:bidi="ar-SA"/>
        </w:rPr>
        <w:t>Поставка песчано-гравийной смеси для ДЭС Бестях, Баханы</w:t>
      </w:r>
      <w:r>
        <w:rPr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lang w:val="ru-RU" w:eastAsia="ru-RU" w:bidi="ar-SA"/>
        </w:rPr>
        <w:t>»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6" w:name="_Toc51339693"/>
      <w:bookmarkStart w:id="7" w:name="_Toc124165067"/>
      <w:bookmarkStart w:id="8" w:name="_Toc46743510"/>
      <w:bookmarkStart w:id="9" w:name="_Toc50125126"/>
      <w:bookmarkEnd w:id="8"/>
      <w:bookmarkEnd w:id="9"/>
      <w:r>
        <w:rPr>
          <w:iCs/>
        </w:rPr>
        <w:t>Требования к продукции</w:t>
      </w:r>
      <w:bookmarkEnd w:id="6"/>
      <w:bookmarkEnd w:id="7"/>
    </w:p>
    <w:p>
      <w:pPr>
        <w:pStyle w:val="Heading4"/>
        <w:numPr>
          <w:ilvl w:val="1"/>
          <w:numId w:val="3"/>
        </w:numPr>
        <w:rPr/>
      </w:pPr>
      <w:bookmarkStart w:id="10" w:name="_Toc124165068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0"/>
    </w:p>
    <w:p>
      <w:pPr>
        <w:pStyle w:val="Heading3"/>
        <w:numPr>
          <w:ilvl w:val="2"/>
          <w:numId w:val="3"/>
        </w:numPr>
        <w:rPr/>
      </w:pPr>
      <w:bookmarkStart w:id="11" w:name="_Toc124165069"/>
      <w:r>
        <w:rPr>
          <w:lang w:val="ru-RU"/>
        </w:rPr>
        <w:t>Перечень и объем закупаемой продукции</w:t>
      </w:r>
      <w:bookmarkEnd w:id="11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2" w:name="_Toc124165070"/>
      <w:bookmarkStart w:id="13" w:name="_Toc5133969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3"/>
      <w:r>
        <w:rPr>
          <w:sz w:val="24"/>
          <w:szCs w:val="24"/>
          <w:lang w:val="ru-RU"/>
        </w:rPr>
        <w:t>и объем закупаемой продукции</w:t>
      </w:r>
      <w:bookmarkEnd w:id="12"/>
    </w:p>
    <w:tbl>
      <w:tblPr>
        <w:tblW w:w="10140" w:type="dxa"/>
        <w:jc w:val="left"/>
        <w:tblInd w:w="22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528"/>
        <w:gridCol w:w="3192"/>
        <w:gridCol w:w="1319"/>
        <w:gridCol w:w="1180"/>
        <w:gridCol w:w="1481"/>
        <w:gridCol w:w="2439"/>
      </w:tblGrid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Код ОКПД2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>Применение законодательства о национальном режиме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 на приобретение российской продукции</w:t>
            </w:r>
          </w:p>
        </w:tc>
      </w:tr>
      <w:tr>
        <w:trPr/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</w:p>
        </w:tc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08.12.12.160</w:t>
            </w: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 на приобретение российской продукции</w:t>
            </w:r>
          </w:p>
        </w:tc>
      </w:tr>
    </w:tbl>
    <w:p>
      <w:pPr>
        <w:pStyle w:val="Heading3"/>
        <w:rPr>
          <w:lang w:val="ru-RU"/>
        </w:rPr>
      </w:pPr>
      <w:r>
        <w:rPr>
          <w:lang w:val="ru-RU"/>
        </w:rPr>
      </w:r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14" w:name="_Toc124165071"/>
      <w:bookmarkStart w:id="15" w:name="_Toc51339696"/>
      <w:r>
        <w:rPr>
          <w:lang w:val="ru-RU"/>
        </w:rPr>
        <w:t xml:space="preserve">Требования </w:t>
      </w:r>
      <w:bookmarkEnd w:id="15"/>
      <w:r>
        <w:rPr>
          <w:lang w:val="ru-RU"/>
        </w:rPr>
        <w:t>к срокам поставки продукции и оказания сопутствующих услуг</w:t>
      </w:r>
      <w:bookmarkEnd w:id="14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  <w:lang w:val="ru-RU"/>
        </w:rPr>
      </w:pPr>
      <w:bookmarkStart w:id="16" w:name="_Toc124165072"/>
      <w:bookmarkStart w:id="17" w:name="_Toc51339697"/>
      <w:bookmarkStart w:id="18" w:name="_Toc50125127"/>
      <w:bookmarkStart w:id="19" w:name="_Toc50125126_Копия_1"/>
      <w:bookmarkEnd w:id="1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0" w:name="_Hlk50465284"/>
      <w:r>
        <w:rPr>
          <w:sz w:val="24"/>
          <w:szCs w:val="24"/>
        </w:rPr>
        <w:t xml:space="preserve">Требования по срокам </w:t>
      </w:r>
      <w:bookmarkEnd w:id="17"/>
      <w:bookmarkEnd w:id="18"/>
      <w:bookmarkEnd w:id="20"/>
      <w:r>
        <w:rPr>
          <w:sz w:val="24"/>
          <w:szCs w:val="24"/>
          <w:lang w:val="ru-RU"/>
        </w:rPr>
        <w:t>поставки продукции</w:t>
      </w:r>
      <w:bookmarkEnd w:id="16"/>
      <w:r>
        <w:rPr>
          <w:sz w:val="24"/>
          <w:szCs w:val="24"/>
          <w:lang w:val="ru-RU"/>
        </w:rPr>
        <w:t xml:space="preserve"> </w:t>
      </w:r>
    </w:p>
    <w:tbl>
      <w:tblPr>
        <w:tblW w:w="9776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0"/>
        <w:gridCol w:w="2550"/>
        <w:gridCol w:w="2979"/>
        <w:gridCol w:w="3116"/>
      </w:tblGrid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jc w:val="center"/>
              <w:rPr/>
            </w:pPr>
            <w:r>
              <w:rPr/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5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auto" w:val="clear"/>
              </w:rPr>
              <w:t>Позиции 1-2 Таблицы 1.1 ТТ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Начало: не ранее 11.01.2027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Окончание: не позднее 31.03.2027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21" w:name="_Toc51339698"/>
      <w:bookmarkStart w:id="22" w:name="_Toc124165073"/>
      <w:bookmarkStart w:id="23" w:name="_Toc46743511"/>
      <w:r>
        <w:rPr/>
        <w:t xml:space="preserve">Требования к </w:t>
      </w:r>
      <w:bookmarkEnd w:id="23"/>
      <w:r>
        <w:rPr>
          <w:lang w:val="ru-RU"/>
        </w:rPr>
        <w:t>качеству продукции</w:t>
      </w:r>
      <w:bookmarkEnd w:id="22"/>
    </w:p>
    <w:p>
      <w:pPr>
        <w:pStyle w:val="Heading1"/>
        <w:keepLines/>
        <w:tabs>
          <w:tab w:val="clear" w:pos="0"/>
        </w:tabs>
        <w:spacing w:before="240" w:after="60"/>
        <w:ind w:left="0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4" w:name="_Toc124165074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продукции</w:t>
      </w:r>
      <w:bookmarkEnd w:id="24"/>
      <w:r>
        <w:rPr>
          <w:sz w:val="24"/>
          <w:szCs w:val="24"/>
        </w:rPr>
        <w:t xml:space="preserve"> </w:t>
      </w:r>
      <w:bookmarkEnd w:id="21"/>
    </w:p>
    <w:p>
      <w:pPr>
        <w:pStyle w:val="Normal"/>
        <w:rPr>
          <w:rStyle w:val="Style8"/>
          <w:b w:val="false"/>
        </w:rPr>
      </w:pPr>
      <w:r>
        <w:rPr>
          <w:b w:val="false"/>
        </w:rPr>
      </w:r>
    </w:p>
    <w:p>
      <w:pPr>
        <w:pStyle w:val="Normal"/>
        <w:jc w:val="both"/>
        <w:rPr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Наименование продукции (позиции №1-2 Таблицы 1.1): 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shd w:fill="auto" w:val="clear"/>
          <w:em w:val="none"/>
          <w:lang w:val="en-US" w:eastAsia="ru-RU" w:bidi="ar-SA"/>
        </w:rPr>
        <w:t>Поставка песчано-гравийной смеси для ДЭС Бестях, Баханы”</w:t>
      </w:r>
    </w:p>
    <w:p>
      <w:pPr>
        <w:pStyle w:val="Normal"/>
        <w:spacing w:before="0" w:after="120"/>
        <w:ind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/>
          <w:bCs/>
          <w:sz w:val="24"/>
          <w:szCs w:val="24"/>
        </w:rPr>
        <w:t>Наименование продукции:</w:t>
      </w:r>
      <w:r>
        <w:rPr>
          <w:rStyle w:val="Style8"/>
          <w:rFonts w:eastAsia="Calibri" w:cs="Times New Roman"/>
          <w:b w:val="false"/>
          <w:bCs w:val="false"/>
          <w:i/>
          <w:color w:val="000000"/>
          <w:sz w:val="24"/>
          <w:szCs w:val="24"/>
          <w:shd w:fill="auto" w:val="clear"/>
          <w:lang w:val="ru-RU" w:eastAsia="ru-RU" w:bidi="ar-SA"/>
        </w:rPr>
        <w:t xml:space="preserve"> 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 w:themeColor="text1"/>
          <w:sz w:val="24"/>
          <w:szCs w:val="24"/>
          <w:u w:val="none"/>
          <w:shd w:fill="auto" w:val="clear"/>
          <w:lang w:val="ru-RU" w:eastAsia="ru-RU" w:bidi="ar-SA"/>
        </w:rPr>
        <w:t>«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2"/>
          <w:szCs w:val="22"/>
          <w:u w:val="none"/>
          <w:shd w:fill="auto" w:val="clear"/>
          <w:em w:val="none"/>
          <w:lang w:val="en-US" w:eastAsia="ru-RU" w:bidi="ar-SA"/>
        </w:rPr>
        <w:t>Поставка песчано-гравийной смеси для ДЭС Бестях, Баханы</w:t>
      </w:r>
      <w:r>
        <w:rPr>
          <w:rStyle w:val="Style8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4"/>
          <w:szCs w:val="24"/>
          <w:u w:val="none"/>
          <w:shd w:fill="auto" w:val="clear"/>
          <w:lang w:val="ru-RU" w:eastAsia="ru-RU" w:bidi="ar-SA"/>
        </w:rPr>
        <w:t>»</w:t>
      </w:r>
    </w:p>
    <w:tbl>
      <w:tblPr>
        <w:tblStyle w:val="1093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07"/>
        <w:gridCol w:w="1262"/>
        <w:gridCol w:w="1676"/>
        <w:gridCol w:w="1447"/>
        <w:gridCol w:w="2298"/>
        <w:gridCol w:w="1499"/>
        <w:gridCol w:w="1703"/>
        <w:gridCol w:w="1149"/>
        <w:gridCol w:w="1911"/>
        <w:gridCol w:w="1746"/>
      </w:tblGrid>
      <w:tr>
        <w:trPr>
          <w:trHeight w:val="311" w:hRule="atLeast"/>
        </w:trPr>
        <w:tc>
          <w:tcPr>
            <w:tcW w:w="60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262" w:type="dxa"/>
            <w:vMerge w:val="restart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 xml:space="preserve">позиции </w:t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br w:type="textWrapping" w:clear="all"/>
            </w: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Таблицы 1.1. «Перечень и объем закупаемой продукции»</w:t>
            </w:r>
          </w:p>
        </w:tc>
        <w:tc>
          <w:tcPr>
            <w:tcW w:w="167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5244" w:type="dxa"/>
            <w:gridSpan w:val="3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 *</w:t>
            </w:r>
          </w:p>
        </w:tc>
        <w:tc>
          <w:tcPr>
            <w:tcW w:w="6509" w:type="dxa"/>
            <w:gridSpan w:val="4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участника**</w:t>
            </w:r>
          </w:p>
        </w:tc>
      </w:tr>
      <w:tr>
        <w:trPr>
          <w:trHeight w:val="726" w:hRule="atLeast"/>
        </w:trPr>
        <w:tc>
          <w:tcPr>
            <w:tcW w:w="60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262" w:type="dxa"/>
            <w:vMerge w:val="continue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67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 w:ascii="Arial" w:hAnsi="Arial"/>
                <w:sz w:val="20"/>
                <w:szCs w:val="20"/>
              </w:rPr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74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asciiTheme="majorBidi" w:hAnsiTheme="majorBidi"/>
                <w:b/>
                <w:i/>
                <w:i/>
                <w:sz w:val="20"/>
                <w:szCs w:val="20"/>
              </w:rPr>
            </w:pPr>
            <w:r>
              <w:rPr>
                <w:rFonts w:eastAsia="Calibri" w:cs="Arial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223" w:hRule="atLeast"/>
        </w:trPr>
        <w:tc>
          <w:tcPr>
            <w:tcW w:w="60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26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167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1447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2298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149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1149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19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1746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 w:ascii="Calibri" w:hAnsi="Calibri"/>
                <w:b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60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26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Позиция 1</w:t>
            </w:r>
          </w:p>
        </w:tc>
        <w:tc>
          <w:tcPr>
            <w:tcW w:w="167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Arial"/>
                <w:color w:val="000000"/>
                <w:kern w:val="0"/>
                <w:sz w:val="20"/>
                <w:szCs w:val="20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447" w:type="dxa"/>
            <w:tcBorders/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kern w:val="0"/>
                <w:highlight w:val="none"/>
                <w:shd w:fill="auto" w:val="clear"/>
              </w:rPr>
            </w:pPr>
            <w:r>
              <w:rPr>
                <w:rFonts w:eastAsia="Calibri" w:cs="Times New Roman" w:ascii="Calibri" w:hAnsi="Calibr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ГОСТ 23735-2014</w:t>
            </w:r>
          </w:p>
        </w:tc>
        <w:tc>
          <w:tcPr>
            <w:tcW w:w="2298" w:type="dxa"/>
            <w:tcBorders/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Обогащенная песчано-гравийная смесь с добавлением щебня (ОПГС), ГОСТ 23735-2014.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Содержание гравия и щебня — не менее 50%, содержание песка — не более 50%.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Максимальная крупность зерен крупного заполнителя: 40 мм (фракция 20-40 мм)</w:t>
            </w:r>
          </w:p>
        </w:tc>
        <w:tc>
          <w:tcPr>
            <w:tcW w:w="149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lang w:val="ru-RU" w:eastAsia="en-US" w:bidi="ar-SA"/>
              </w:rPr>
              <w:t>РС(Я), Жиганский район, с. Бестях, ДЭС Бесятх</w:t>
            </w:r>
          </w:p>
        </w:tc>
        <w:tc>
          <w:tcPr>
            <w:tcW w:w="170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9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6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  <w:tr>
        <w:trPr>
          <w:trHeight w:val="717" w:hRule="atLeast"/>
        </w:trPr>
        <w:tc>
          <w:tcPr>
            <w:tcW w:w="60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spacing w:before="0" w:after="0"/>
              <w:contextualSpacing/>
              <w:jc w:val="left"/>
              <w:rPr>
                <w:rFonts w:eastAsia="Calibri" w:eastAsiaTheme="minorHAnsi"/>
                <w:sz w:val="20"/>
                <w:szCs w:val="20"/>
              </w:rPr>
            </w:pPr>
            <w:r>
              <w:rPr>
                <w:rFonts w:eastAsia="Calibri" w:eastAsiaTheme="minorHAnsi"/>
                <w:sz w:val="20"/>
                <w:szCs w:val="20"/>
              </w:rPr>
            </w:r>
          </w:p>
        </w:tc>
        <w:tc>
          <w:tcPr>
            <w:tcW w:w="126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highlight w:val="none"/>
                <w:shd w:fill="auto" w:val="clear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Позиция 2</w:t>
            </w:r>
          </w:p>
        </w:tc>
        <w:tc>
          <w:tcPr>
            <w:tcW w:w="1676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 w:cs="Arial"/>
                <w:color w:val="000000"/>
                <w:kern w:val="0"/>
                <w:sz w:val="20"/>
                <w:szCs w:val="20"/>
                <w:lang w:val="ru-RU" w:eastAsia="en-US" w:bidi="ar-SA"/>
              </w:rPr>
              <w:t>Смесь песчано-гравийная</w:t>
            </w:r>
          </w:p>
        </w:tc>
        <w:tc>
          <w:tcPr>
            <w:tcW w:w="1447" w:type="dxa"/>
            <w:tcBorders>
              <w:top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kern w:val="0"/>
                <w:highlight w:val="none"/>
                <w:shd w:fill="auto" w:val="clear"/>
              </w:rPr>
            </w:pPr>
            <w:r>
              <w:rPr>
                <w:rFonts w:eastAsia="Calibri" w:cs="Times New Roman" w:ascii="Calibri" w:hAnsi="Calibr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ГОСТ 23735-2014</w:t>
            </w:r>
          </w:p>
        </w:tc>
        <w:tc>
          <w:tcPr>
            <w:tcW w:w="2298" w:type="dxa"/>
            <w:tcBorders>
              <w:top w:val="nil"/>
            </w:tcBorders>
          </w:tcPr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Обогащенная песчано-гравийная смесь с добавлением щебня (ОПГС), ГОСТ 23735-2014.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Содержание гравия и щебня — не менее 50%, содержание песка — не более 50%.</w:t>
            </w:r>
          </w:p>
          <w:p>
            <w:pPr>
              <w:pStyle w:val="Normal"/>
              <w:widowControl w:val="false"/>
              <w:shd w:val="clear" w:color="FFFFFF" w:themeColor="background1" w:fill="FFFFFF" w:themeFill="background1"/>
              <w:jc w:val="left"/>
              <w:rPr>
                <w:bCs w:val="false"/>
                <w:i w:val="false"/>
                <w:i w:val="false"/>
                <w:sz w:val="20"/>
                <w:szCs w:val="20"/>
                <w:highlight w:val="none"/>
                <w14:ligatures w14:val="none"/>
              </w:rPr>
            </w:pPr>
            <w:r>
              <w:rPr>
                <w:i w:val="false"/>
                <w:iCs w:val="false"/>
                <w:kern w:val="0"/>
                <w:sz w:val="20"/>
                <w:szCs w:val="20"/>
                <w:shd w:fill="auto" w:val="clear"/>
              </w:rPr>
              <w:t>Максимальная крупность зерен крупного заполнителя: 40 мм (фракция 20-40 мм)</w:t>
            </w:r>
          </w:p>
        </w:tc>
        <w:tc>
          <w:tcPr>
            <w:tcW w:w="1499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Calibri"/>
                <w:i/>
                <w:iCs/>
                <w:kern w:val="0"/>
                <w:sz w:val="20"/>
                <w:szCs w:val="20"/>
                <w:lang w:val="ru-RU" w:eastAsia="en-US" w:bidi="ar-SA"/>
              </w:rPr>
              <w:t>РС(Я), Жиганский район, с. Баханай, ДЭС Баханы</w:t>
            </w:r>
          </w:p>
        </w:tc>
        <w:tc>
          <w:tcPr>
            <w:tcW w:w="170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1149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911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Технические и функциональные характеристики</w:t>
            </w:r>
          </w:p>
        </w:tc>
        <w:tc>
          <w:tcPr>
            <w:tcW w:w="1746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eastAsia="Calibri" w:ascii="Calibri" w:hAnsi="Calibr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</w:tbl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Таблица 3.1. Требования заказчика </w:t>
      </w:r>
    </w:p>
    <w:p>
      <w:pPr>
        <w:pStyle w:val="Normal"/>
        <w:jc w:val="both"/>
        <w:rPr>
          <w:rStyle w:val="Style8"/>
          <w:b w:val="false"/>
          <w:iCs/>
          <w:sz w:val="24"/>
          <w:szCs w:val="24"/>
        </w:rPr>
      </w:pPr>
      <w:r>
        <w:rPr>
          <w:b w:val="false"/>
          <w:iCs/>
          <w:sz w:val="24"/>
          <w:szCs w:val="24"/>
        </w:rPr>
      </w:r>
    </w:p>
    <w:tbl>
      <w:tblPr>
        <w:tblStyle w:val="1092"/>
        <w:tblW w:w="1530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1811"/>
        <w:gridCol w:w="4821"/>
        <w:gridCol w:w="2693"/>
        <w:gridCol w:w="2930"/>
        <w:gridCol w:w="2192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82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2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19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2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9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30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192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930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 с ГОСТ</w:t>
            </w:r>
          </w:p>
        </w:tc>
        <w:tc>
          <w:tcPr>
            <w:tcW w:w="21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ru-RU" w:eastAsia="ru-RU" w:bidi="ar-SA"/>
              </w:rPr>
              <w:t>указание характеристик (участником заполняется таблица 3</w:t>
            </w:r>
            <w:r>
              <w:rPr>
                <w:rFonts w:eastAsia="Times New Roman" w:cs="Times New Roman"/>
                <w:bCs/>
                <w:i/>
                <w:kern w:val="0"/>
                <w:sz w:val="24"/>
                <w:szCs w:val="24"/>
                <w:lang w:val="en-US" w:eastAsia="ru-RU" w:bidi="ar-SA"/>
              </w:rPr>
              <w:t>)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№3 к настоящим Техническим требованиям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транспортированию и упаковке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Транспортировка осуществляется навалом в открытых железнодорожных вагонах, судах и большегрузных автомобилях.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2. Поставщик обязан обеспечить условия транспортировки, исключающие расслоение (сегрегацию) смеси, ее загрязнение посторонними примесями и переувлажнение.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3. При перевозке автотранспортом кузова должны быть укрыты пологами (тентами) для предотвращения выветривания мелких фракций и загрязнения окружающей среды.</w:t>
            </w:r>
          </w:p>
          <w:p>
            <w:pPr>
              <w:pStyle w:val="Normal"/>
              <w:widowControl w:val="false"/>
              <w:bidi w:val="0"/>
              <w:jc w:val="left"/>
              <w:rPr>
                <w:i/>
                <w:i/>
                <w:iCs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</w:rPr>
              <w:t>4. Каждая партия товара должна сопровождаться оригиналом паспорта качества (сертификата соответствия) согласно ГОСТ 23735-2014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маркировке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1. И</w:t>
            </w: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нформация о товаре указывается в товарно-транспортной накладной и паспорте (сертификате) качества на каждую партию.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2. Обязательные сведения: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1) Наименование и адрес предприятия-изготовителя.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i/>
                <w:i/>
                <w:iCs/>
                <w:color w:val="000000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2) Условное обозначение смеси.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3) Номер партии и дата отгрузки.</w:t>
            </w:r>
          </w:p>
          <w:p>
            <w:pPr>
              <w:pStyle w:val="BodyText"/>
              <w:widowControl w:val="false"/>
              <w:numPr>
                <w:ilvl w:val="0"/>
                <w:numId w:val="0"/>
              </w:numPr>
              <w:spacing w:before="0" w:after="0"/>
              <w:ind w:left="0" w:right="0" w:hanging="0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u w:val="none"/>
              </w:rPr>
              <w:t>4) Масса (в тоннах) или объем (в м³) поставляемого материала.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/>
                <w:b w:val="false"/>
                <w:i/>
                <w:i/>
                <w:iCs/>
                <w:strike w:val="false"/>
                <w:dstrike w:val="false"/>
                <w:color w:val="000000"/>
                <w:sz w:val="24"/>
                <w:u w:val="none"/>
              </w:rPr>
            </w:pPr>
            <w:r>
              <w:rPr>
                <w:rFonts w:eastAsia="Times New Roman" w:cs="Times New Roman"/>
                <w:b w:val="false"/>
                <w:i/>
                <w:iCs/>
                <w:strike w:val="false"/>
                <w:dstrike w:val="false"/>
                <w:color w:val="000000"/>
                <w:kern w:val="0"/>
                <w:sz w:val="24"/>
                <w:szCs w:val="24"/>
                <w:u w:val="none"/>
                <w:lang w:val="ru-RU" w:eastAsia="ru-RU" w:bidi="ar-SA"/>
              </w:rPr>
              <w:t>5) Содержание гравия (в процентах).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left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Приемка товара по количеству и качеству осуществляется по адресу: согласно таблице 3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В случае несоответствия поставленной продукции требованиям технического задания, Поставщик за свой счет производит замену несоответствующего товара согласованный между сторонами срок, в противном случае вся партия товара принята Заказчиком не будет.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2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На Товар устанавливается гарантийный срок не менее 12 (двенадцати) месяцев, который подлежит исчислению с даты подписания Сторонами товарной накладной по форме ТОРГ-12/УПД (далее – «Гарантийный срок»)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Предложение по сроку гарантии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Lohit Devanagari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 товаром</w:t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Поставщик обязан одновременно с передачей товара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сертификаты качества;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технические паспорта;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товарную накладную унифицированной формы ТОРГ-12 /УПД в 2 экз.;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протоколы заводских испытаний.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before="60" w:after="60"/>
              <w:jc w:val="left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 w:cs="Times New Roman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Поставляемая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Дата выпуска: Не ранее 2026 года.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Условия поставки эквивалентной продукции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требуемого Заказчиком провода или его составных частей,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18" w:leader="none"/>
              </w:tabs>
              <w:spacing w:before="0" w:after="0"/>
              <w:ind w:left="35" w:hanging="0"/>
              <w:contextualSpacing/>
              <w:jc w:val="left"/>
              <w:rPr>
                <w:i/>
                <w:i/>
                <w:iCs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Эквивалентная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lang w:val="ru-RU" w:eastAsia="ru-RU" w:bidi="ar-SA"/>
              </w:rPr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Дополнительно на предлагаемую продукцию победитель должен представить</w:t>
            </w:r>
          </w:p>
        </w:tc>
        <w:tc>
          <w:tcPr>
            <w:tcW w:w="4821" w:type="dxa"/>
            <w:tcBorders/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победитель должен предоставить документ подтверждения соответствие материалов по  ГОСТ.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 Если победитель предложил продукцию, изготовленную согласно ТУ, то для проверки соответствия технических характеристик и требуемых параметров, Участник должен предоставить в составе своей заявки подписанные должным образом, отсканированную(ые) копию(и) (полный текст) ТУ, в соответствии с которыми выпускается продукция.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Предоставление документов</w:t>
            </w:r>
          </w:p>
        </w:tc>
        <w:tc>
          <w:tcPr>
            <w:tcW w:w="2930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2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</w:t>
            </w:r>
          </w:p>
        </w:tc>
        <w:tc>
          <w:tcPr>
            <w:tcW w:w="14447" w:type="dxa"/>
            <w:gridSpan w:val="5"/>
            <w:tcBorders>
              <w:top w:val="nil"/>
            </w:tcBorders>
            <w:vAlign w:val="center"/>
          </w:tcPr>
          <w:p>
            <w:pPr>
              <w:pStyle w:val="Heading3"/>
              <w:widowControl w:val="false"/>
              <w:numPr>
                <w:ilvl w:val="0"/>
                <w:numId w:val="0"/>
              </w:numPr>
              <w:bidi w:val="0"/>
              <w:spacing w:before="120" w:after="60"/>
              <w:ind w:left="0" w:right="0" w:hanging="0"/>
              <w:jc w:val="both"/>
              <w:rPr>
                <w:highlight w:val="none"/>
                <w:shd w:fill="auto" w:val="clear"/>
              </w:rPr>
            </w:pPr>
            <w:bookmarkStart w:id="25" w:name="__RefHeading___Toc6884_173003830_Копия_1"/>
            <w:bookmarkEnd w:id="25"/>
            <w:r>
              <w:rPr>
                <w:rFonts w:eastAsia="Calibri"/>
                <w:b/>
                <w:color w:val="000000"/>
                <w:kern w:val="0"/>
                <w:shd w:fill="auto" w:val="clear"/>
              </w:rPr>
              <w:t xml:space="preserve">Требования по предоставлению национального режима </w:t>
            </w:r>
            <w:r>
              <w:rPr>
                <w:rFonts w:eastAsia="Calibri"/>
                <w:b w:val="false"/>
                <w:bCs w:val="false"/>
                <w:color w:val="000000"/>
                <w:kern w:val="0"/>
                <w:shd w:fill="auto" w:val="clear"/>
              </w:rPr>
              <w:t>при осуществлении закупок в соответствии с Постановлением Правительства Российской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</w:p>
        </w:tc>
      </w:tr>
      <w:tr>
        <w:trPr/>
        <w:tc>
          <w:tcPr>
            <w:tcW w:w="852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60" w:after="60"/>
              <w:ind w:left="-117" w:hanging="0"/>
              <w:contextualSpacing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7.1.</w:t>
            </w:r>
          </w:p>
        </w:tc>
        <w:tc>
          <w:tcPr>
            <w:tcW w:w="1811" w:type="dxa"/>
            <w:tcBorders>
              <w:top w:val="nil"/>
            </w:tcBorders>
            <w:vAlign w:val="center"/>
          </w:tcPr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По позициям таблицы 1.1., по которым п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ри осуществлении закупки товара,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если Правительством РФ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установлено </w:t>
            </w:r>
            <w:hyperlink r:id="rId5" w:tgtFrame="https://login.consultant.ru/link/?req=doc&amp;base=LAW&amp;n=494318&amp;dst=100008">
              <w:r>
                <w:rPr>
                  <w:rFonts w:eastAsia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преимущество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в отношении товаров российского происхождения: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>а) при рассмотрении, оценке, сопоставлении заявок на участие в закупке, окончательных предложений осуществляется снижение на 15 % (пятнадцать процентов) ценового предложения, поданного участником 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/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подпункте «а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anchor="Par17" w:tgtFrame="#Par17">
              <w:r>
                <w:rPr>
                  <w:rFonts w:eastAsia="Times New Roman" w:cs="Times New Roman"/>
                  <w:color w:val="000000"/>
                  <w:kern w:val="0"/>
                  <w:sz w:val="20"/>
                  <w:szCs w:val="20"/>
                  <w:shd w:fill="auto" w:val="clear"/>
                  <w:lang w:eastAsia="ru-RU"/>
                </w:rPr>
                <w:t>подпунктом «а»</w:t>
              </w:r>
            </w:hyperlink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shd w:fill="auto" w:val="clear"/>
                <w:lang w:eastAsia="ru-RU"/>
              </w:rPr>
              <w:t xml:space="preserve"> настоящего пункта,</w:t>
            </w:r>
          </w:p>
          <w:p>
            <w:pPr>
              <w:pStyle w:val="Main14"/>
              <w:widowControl w:val="false"/>
              <w:spacing w:lineRule="auto" w:line="240" w:before="0" w:after="0"/>
              <w:ind w:left="0" w:right="0" w:hanging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eastAsia="ru-RU"/>
              </w:rPr>
      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</w:p>
        </w:tc>
        <w:tc>
          <w:tcPr>
            <w:tcW w:w="4821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Указание в заявке на участие в закупке наименования страны происхождения товара в соответствии с Общероссийским классификатором стран мира (ОКСМ)</w:t>
            </w: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Autospacing="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eastAsia="Calibri" w:cs="Times New Roman" w:eastAsiaTheme="minorHAnsi"/>
                <w:i w:val="false"/>
                <w:iCs w:val="false"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Согласие с требованием</w:t>
            </w:r>
          </w:p>
        </w:tc>
        <w:tc>
          <w:tcPr>
            <w:tcW w:w="2930" w:type="dxa"/>
            <w:tcBorders>
              <w:top w:val="nil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Участник должен предоставить в составе заявки Техническое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Autospacing="0" w:after="0"/>
              <w:ind w:left="0" w:hanging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/>
                <w:i w:val="false"/>
                <w:iCs w:val="false"/>
                <w:caps w:val="false"/>
                <w:smallCaps w:val="false"/>
                <w:color w:val="000000"/>
                <w:spacing w:val="0"/>
                <w:kern w:val="0"/>
                <w:sz w:val="20"/>
                <w:szCs w:val="20"/>
                <w:shd w:fill="auto" w:val="clear"/>
                <w:lang w:val="ru-RU" w:eastAsia="ru-RU" w:bidi="ar-SA"/>
              </w:rPr>
              <w:t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информации: страны происхождения товара</w:t>
            </w:r>
          </w:p>
        </w:tc>
        <w:tc>
          <w:tcPr>
            <w:tcW w:w="2192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headerReference w:type="default" r:id="rId6"/>
          <w:headerReference w:type="first" r:id="rId7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100" w:charSpace="0"/>
        </w:sectPr>
      </w:pP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lang w:val="ru-RU"/>
        </w:rPr>
      </w:pPr>
      <w:bookmarkStart w:id="26" w:name="_Toc46743519"/>
      <w:bookmarkStart w:id="27" w:name="_Toc51339699"/>
      <w:bookmarkStart w:id="28" w:name="_Toc124165075"/>
      <w:bookmarkStart w:id="29" w:name="_Toc53393312"/>
      <w:r>
        <w:rPr>
          <w:lang w:val="ru-RU"/>
        </w:rPr>
        <w:t>Требования к документации по ценообразованию</w:t>
      </w:r>
      <w:bookmarkEnd w:id="29"/>
      <w:r>
        <w:rPr>
          <w:lang w:val="ru-RU"/>
        </w:rPr>
        <w:t xml:space="preserve"> на этапе закупки</w:t>
      </w:r>
      <w:bookmarkEnd w:id="28"/>
    </w:p>
    <w:p>
      <w:pPr>
        <w:pStyle w:val="Heading1"/>
        <w:keepLines/>
        <w:tabs>
          <w:tab w:val="clear" w:pos="0"/>
        </w:tabs>
        <w:ind w:left="357" w:hanging="0"/>
        <w:rPr>
          <w:iCs/>
        </w:rPr>
      </w:pPr>
      <w:r>
        <w:rPr>
          <w:iCs/>
        </w:rPr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0" w:name="_Hlk88325985"/>
      <w:r>
        <w:rPr>
          <w:bCs/>
          <w:i/>
          <w:iCs/>
          <w:sz w:val="24"/>
          <w:szCs w:val="24"/>
        </w:rPr>
        <w:t>(с учетом прилагаемой к ней инструкции по заполнению)</w:t>
      </w:r>
      <w:bookmarkEnd w:id="30"/>
      <w:r>
        <w:rPr>
          <w:bCs/>
          <w:i/>
          <w:iCs/>
          <w:sz w:val="24"/>
          <w:szCs w:val="24"/>
        </w:rPr>
        <w:t>, приведенной в Документации о закупке.</w:t>
      </w:r>
    </w:p>
    <w:p>
      <w:pPr>
        <w:pStyle w:val="Normal"/>
        <w:numPr>
          <w:ilvl w:val="1"/>
          <w:numId w:val="10"/>
        </w:numPr>
        <w:spacing w:before="0" w:after="120"/>
        <w:jc w:val="both"/>
        <w:rPr>
          <w:bCs/>
          <w:i/>
          <w:i/>
          <w:iCs/>
          <w:sz w:val="24"/>
          <w:szCs w:val="24"/>
        </w:rPr>
      </w:pPr>
      <w:bookmarkStart w:id="31" w:name="_Hlk88327292"/>
      <w:r>
        <w:rPr>
          <w:bCs/>
          <w:i/>
          <w:iCs/>
          <w:sz w:val="24"/>
          <w:szCs w:val="24"/>
        </w:rPr>
        <w:t>Дополнительные документы по ценообразованию</w:t>
      </w:r>
      <w:bookmarkEnd w:id="31"/>
      <w:r>
        <w:rPr>
          <w:bCs/>
          <w:i/>
          <w:iCs/>
          <w:sz w:val="24"/>
          <w:szCs w:val="24"/>
        </w:rPr>
        <w:t xml:space="preserve"> в состав заявки не включаются.</w:t>
      </w:r>
      <w:bookmarkEnd w:id="26"/>
      <w:bookmarkEnd w:id="27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center"/>
        <w:rPr/>
      </w:pPr>
      <w:r>
        <w:rPr/>
      </w:r>
      <w:bookmarkStart w:id="32" w:name="_GoBack"/>
      <w:bookmarkStart w:id="33" w:name="_GoBack"/>
      <w:bookmarkEnd w:id="33"/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>
          <w:rFonts w:eastAsia="Calibri" w:eastAsiaTheme="minorHAnsi"/>
          <w:b w:val="false"/>
          <w:iCs/>
          <w:sz w:val="22"/>
          <w:szCs w:val="22"/>
        </w:rPr>
      </w:r>
    </w:p>
    <w:p>
      <w:pPr>
        <w:pStyle w:val="Normal"/>
        <w:spacing w:before="40" w:after="120"/>
        <w:ind w:right="-28" w:hanging="0"/>
        <w:jc w:val="both"/>
        <w:rPr>
          <w:rStyle w:val="Style8"/>
          <w:rFonts w:eastAsia="Calibri" w:eastAsiaTheme="minorHAnsi"/>
          <w:b w:val="false"/>
          <w:iCs/>
          <w:sz w:val="22"/>
          <w:szCs w:val="22"/>
        </w:rPr>
      </w:pPr>
      <w:r>
        <w:rPr/>
      </w:r>
    </w:p>
    <w:sectPr>
      <w:headerReference w:type="default" r:id="rId8"/>
      <w:headerReference w:type="first" r:id="rId9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szCs w:val="28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Next w:val="true"/>
      <w:tabs>
        <w:tab w:val="clear" w:pos="708"/>
        <w:tab w:val="left" w:pos="0" w:leader="none"/>
      </w:tabs>
      <w:spacing w:before="120" w:after="60"/>
      <w:ind w:left="1224" w:hanging="504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i/>
      <w:iCs/>
      <w:color w:val="0F4761" w:themeColor="accent1" w:themeShade="bf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color w:val="0F4761" w:themeColor="accent1" w:themeShade="bf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i/>
      <w:iCs/>
      <w:color w:val="595959" w:themeColor="text1" w:themeTint="a6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color w:val="595959" w:themeColor="text1" w:themeTint="a6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color w:val="272727" w:themeColor="text1" w:themeTint="d8"/>
    </w:rPr>
  </w:style>
  <w:style w:type="character" w:styleId="TitleChar">
    <w:name w:val="Title Char"/>
    <w:basedOn w:val="DefaultParagraphFont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uiPriority w:val="11"/>
    <w:qFormat/>
    <w:rPr>
      <w:color w:val="595959" w:themeColor="text1" w:themeTint="a6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val="0F4761" w:themeColor="accent1" w:themeShade="bf"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FootnoteTextChar">
    <w:name w:val="Footnote Text Char"/>
    <w:basedOn w:val="DefaultParagraphFont"/>
    <w:uiPriority w:val="99"/>
    <w:semiHidden/>
    <w:qFormat/>
    <w:rPr>
      <w:sz w:val="20"/>
      <w:szCs w:val="20"/>
    </w:rPr>
  </w:style>
  <w:style w:type="character" w:styleId="EndnoteTextChar">
    <w:name w:val="Endnote Text Char"/>
    <w:basedOn w:val="DefaultParagraphFont"/>
    <w:uiPriority w:val="99"/>
    <w:semiHidden/>
    <w:qFormat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rPr>
      <w:sz w:val="28"/>
    </w:rPr>
  </w:style>
  <w:style w:type="character" w:styleId="Style5" w:customStyle="1">
    <w:name w:val="Текст сноски Знак"/>
    <w:uiPriority w:val="99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Style16"/>
    <w:qFormat/>
    <w:pPr/>
    <w:rPr/>
  </w:style>
  <w:style w:type="paragraph" w:styleId="Style18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9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pPr>
      <w:jc w:val="center"/>
    </w:pPr>
    <w:rPr>
      <w:szCs w:val="20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pPr/>
    <w:rPr/>
  </w:style>
  <w:style w:type="paragraph" w:styleId="Style24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</w:rPr>
  </w:style>
  <w:style w:type="paragraph" w:styleId="Style26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9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3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pPr>
      <w:numPr>
        <w:ilvl w:val="0"/>
        <w:numId w:val="9"/>
      </w:numPr>
      <w:tabs>
        <w:tab w:val="clear" w:pos="708"/>
        <w:tab w:val="left" w:pos="567" w:leader="none"/>
      </w:tabs>
      <w:jc w:val="both"/>
    </w:pPr>
    <w:rPr>
      <w:sz w:val="22"/>
      <w:szCs w:val="24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paragraph" w:styleId="Main14">
    <w:name w:val="Main 14"/>
    <w:basedOn w:val="Caption"/>
    <w:qFormat/>
    <w:pPr>
      <w:keepNext w:val="false"/>
      <w:keepLines w:val="false"/>
      <w:pageBreakBefore w:val="false"/>
      <w:widowControl/>
      <w:shd w:val="nil"/>
      <w:spacing w:lineRule="auto" w:line="312" w:beforeAutospacing="0" w:before="60" w:afterAutospacing="0" w:after="0"/>
      <w:ind w:left="0" w:right="0" w:firstLine="709"/>
      <w:jc w:val="both"/>
    </w:pPr>
    <w:rPr>
      <w:rFonts w:ascii="Times New Roman" w:hAnsi="Times New Roman" w:eastAsia="Batang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position w:val="0"/>
      <w:sz w:val="28"/>
      <w:sz w:val="28"/>
      <w:szCs w:val="28"/>
      <w:u w:val="none"/>
      <w:vertAlign w:val="baseline"/>
      <w:lang w:val="ru-RU" w:eastAsia="ko-KR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</w:style>
  <w:style w:type="numbering" w:styleId="29" w:customStyle="1">
    <w:name w:val="Стиль2"/>
    <w:uiPriority w:val="99"/>
    <w:qFormat/>
  </w:style>
  <w:style w:type="table" w:styleId="966">
    <w:name w:val="Table Grid Light"/>
    <w:basedOn w:val="109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7">
    <w:name w:val="Plain Table 1"/>
    <w:basedOn w:val="109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8">
    <w:name w:val="Plain Table 2"/>
    <w:basedOn w:val="109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69">
    <w:name w:val="Plain Table 3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0">
    <w:name w:val="Plain Table 4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1">
    <w:name w:val="Plain Table 5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2">
    <w:name w:val="Grid Table 1 Light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3">
    <w:name w:val="Grid Table 1 Light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4">
    <w:name w:val="Grid Table 1 Light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5">
    <w:name w:val="Grid Table 1 Light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6">
    <w:name w:val="Grid Table 1 Light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7">
    <w:name w:val="Grid Table 1 Light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8">
    <w:name w:val="Grid Table 1 Light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79">
    <w:name w:val="Grid Table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0">
    <w:name w:val="Grid Table 2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1">
    <w:name w:val="Grid Table 2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2">
    <w:name w:val="Grid Table 2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3">
    <w:name w:val="Grid Table 2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4">
    <w:name w:val="Grid Table 2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5">
    <w:name w:val="Grid Table 2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6">
    <w:name w:val="Grid Table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7">
    <w:name w:val="Grid Table 3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8">
    <w:name w:val="Grid Table 3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9">
    <w:name w:val="Grid Table 3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0">
    <w:name w:val="Grid Table 3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1">
    <w:name w:val="Grid Table 3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2">
    <w:name w:val="Grid Table 3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3">
    <w:name w:val="Grid Table 4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4">
    <w:name w:val="Grid Table 4 - Accent 1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5">
    <w:name w:val="Grid Table 4 - Accent 2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6">
    <w:name w:val="Grid Table 4 - Accent 3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7">
    <w:name w:val="Grid Table 4 - Accent 4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8">
    <w:name w:val="Grid Table 4 - Accent 5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99">
    <w:name w:val="Grid Table 4 - Accent 6"/>
    <w:basedOn w:val="10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0">
    <w:name w:val="Grid Table 5 Dark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1">
    <w:name w:val="Grid Table 5 Dark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2">
    <w:name w:val="Grid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3">
    <w:name w:val="Grid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4">
    <w:name w:val="Grid Table 5 Dark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5">
    <w:name w:val="Grid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6">
    <w:name w:val="Grid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07">
    <w:name w:val="Grid Table 6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1008">
    <w:name w:val="Grid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val="3760AB" w:themeColor="accent1" w:themeTint="80" w:themeShade="95"/>
      </w:rPr>
      <w:tblPr/>
    </w:tblStylePr>
    <w:tblStylePr w:type="firstRow">
      <w:rPr>
        <w:b/>
        <w:color w:val="3760AB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760AB" w:themeColor="accent1" w:themeTint="80" w:themeShade="95"/>
      </w:rPr>
      <w:tblPr/>
    </w:tblStylePr>
    <w:tblStylePr w:type="lastRow">
      <w:rPr>
        <w:b/>
        <w:color w:val="3760AB"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1009">
    <w:name w:val="Grid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1010">
    <w:name w:val="Grid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1011">
    <w:name w:val="Grid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1012">
    <w:name w:val="Grid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13">
    <w:name w:val="Grid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val="245B8D" w:themeColor="accent5" w:themeShade="95"/>
      </w:rPr>
      <w:tblPr/>
    </w:tblStylePr>
    <w:tblStylePr w:type="firstRow">
      <w:rPr>
        <w:b/>
        <w:color w:val="245B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tblPr/>
    </w:tblStylePr>
    <w:tblStylePr w:type="lastRow">
      <w:rPr>
        <w:b/>
        <w:color w:val="245B8D"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1014">
    <w:name w:val="Grid Table 7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5">
    <w:name w:val="Grid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760AB"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val="3760AB"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760AB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760AB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6">
    <w:name w:val="Grid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7">
    <w:name w:val="Grid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8">
    <w:name w:val="Grid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19">
    <w:name w:val="Grid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B8D"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val="245B8D"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B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B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B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0">
    <w:name w:val="Grid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16529"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val="416529"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165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165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165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1">
    <w:name w:val="List Table 1 Light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2">
    <w:name w:val="List Table 1 Light - Accent 1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3">
    <w:name w:val="List Table 1 Light - Accent 2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4">
    <w:name w:val="List Table 1 Light - Accent 3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5">
    <w:name w:val="List Table 1 Light - Accent 4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6">
    <w:name w:val="List Table 1 Light - Accent 5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7">
    <w:name w:val="List Table 1 Light - Accent 6"/>
    <w:basedOn w:val="10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8">
    <w:name w:val="List Table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29">
    <w:name w:val="List Table 2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0">
    <w:name w:val="List Table 2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1">
    <w:name w:val="List Table 2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2">
    <w:name w:val="List Table 2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3">
    <w:name w:val="List Table 2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4">
    <w:name w:val="List Table 2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5">
    <w:name w:val="List Table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6">
    <w:name w:val="List Table 3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7">
    <w:name w:val="List Table 3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8">
    <w:name w:val="List Table 3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39">
    <w:name w:val="List Table 3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0">
    <w:name w:val="List Table 3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1">
    <w:name w:val="List Table 3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2">
    <w:name w:val="List Table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3">
    <w:name w:val="List Table 4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4">
    <w:name w:val="List Table 4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5">
    <w:name w:val="List Table 4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6">
    <w:name w:val="List Table 4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7">
    <w:name w:val="List Table 4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8">
    <w:name w:val="List Table 4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49">
    <w:name w:val="List Table 5 Dark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0">
    <w:name w:val="List Table 5 Dark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1">
    <w:name w:val="List Table 5 Dark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2">
    <w:name w:val="List Table 5 Dark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3">
    <w:name w:val="List Table 5 Dark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4">
    <w:name w:val="List Table 5 Dark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5">
    <w:name w:val="List Table 5 Dark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FFFFFF" w:themeColor="light1"/>
        <w:sz w:val="22"/>
      </w:rPr>
      <w:tblPr/>
    </w:tblStylePr>
  </w:style>
  <w:style w:type="table" w:styleId="1056">
    <w:name w:val="List Table 6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band2Vert"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7">
    <w:name w:val="List Table 6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val="254275" w:themeColor="accent1" w:themeShade="95"/>
      </w:rPr>
      <w:tblPr/>
    </w:tblStylePr>
    <w:tblStylePr w:type="firstRow">
      <w:rPr>
        <w:b/>
        <w:color w:val="254275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tblPr/>
    </w:tblStylePr>
    <w:tblStylePr w:type="lastRow">
      <w:rPr>
        <w:b/>
        <w:color w:val="254275"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8">
    <w:name w:val="List Table 6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val="CA5D12" w:themeColor="accent2" w:themeTint="97" w:themeShade="95"/>
      </w:rPr>
      <w:tblPr/>
    </w:tblStylePr>
    <w:tblStylePr w:type="firstRow">
      <w:rPr>
        <w:b/>
        <w:color w:val="CA5D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A5D12" w:themeColor="accent2" w:themeTint="97" w:themeShade="95"/>
      </w:rPr>
      <w:tblPr/>
    </w:tblStylePr>
    <w:tblStylePr w:type="lastRow">
      <w:rPr>
        <w:b/>
        <w:color w:val="CA5D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59">
    <w:name w:val="List Table 6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0">
    <w:name w:val="List Table 6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D09D00" w:themeColor="accent4" w:themeTint="9a" w:themeShade="95"/>
      </w:rPr>
      <w:tblPr/>
    </w:tblStylePr>
    <w:tblStylePr w:type="firstRow">
      <w:rPr>
        <w:b/>
        <w:color w:val="D09D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tblPr/>
    </w:tblStylePr>
    <w:tblStylePr w:type="lastRow">
      <w:rPr>
        <w:b/>
        <w:color w:val="D09D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1">
    <w:name w:val="List Table 6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val="2D74B4" w:themeColor="accent5" w:themeTint="9a" w:themeShade="95"/>
      </w:rPr>
      <w:tblPr/>
    </w:tblStylePr>
    <w:tblStylePr w:type="firstRow">
      <w:rPr>
        <w:b/>
        <w:color w:val="2D74B4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D74B4" w:themeColor="accent5" w:themeTint="9a" w:themeShade="95"/>
      </w:rPr>
      <w:tblPr/>
    </w:tblStylePr>
    <w:tblStylePr w:type="lastRow">
      <w:rPr>
        <w:b/>
        <w:color w:val="2D74B4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2">
    <w:name w:val="List Table 6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val="5E923C" w:themeColor="accent6" w:themeTint="98" w:themeShade="95"/>
      </w:rPr>
      <w:tblPr/>
    </w:tblStylePr>
    <w:tblStylePr w:type="firstRow">
      <w:rPr>
        <w:b/>
        <w:color w:val="5E92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tblPr/>
    </w:tblStylePr>
    <w:tblStylePr w:type="lastRow">
      <w:rPr>
        <w:b/>
        <w:color w:val="5E92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63">
    <w:name w:val="List Table 7 Colorful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064">
    <w:name w:val="List Table 7 Colorful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275"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val="254275"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275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275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54275" w:themeColor="accent1" w:themeShade="95"/>
        <w:sz w:val="22"/>
      </w:rPr>
      <w:tblPr/>
    </w:tblStylePr>
  </w:style>
  <w:style w:type="table" w:styleId="1065">
    <w:name w:val="List Table 7 Colorful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A5D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A5D12"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A5D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A5D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CA5D12" w:themeColor="accent2" w:themeTint="97" w:themeShade="95"/>
        <w:sz w:val="22"/>
      </w:rPr>
      <w:tblPr/>
    </w:tblStylePr>
  </w:style>
  <w:style w:type="table" w:styleId="1066">
    <w:name w:val="List Table 7 Colorful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1067">
    <w:name w:val="List Table 7 Colorful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D09D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D09D00"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09D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09D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D09D00" w:themeColor="accent4" w:themeTint="9a" w:themeShade="95"/>
        <w:sz w:val="22"/>
      </w:rPr>
      <w:tblPr/>
    </w:tblStylePr>
  </w:style>
  <w:style w:type="table" w:styleId="1068">
    <w:name w:val="List Table 7 Colorful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D74B4"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val="2D74B4"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D74B4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D74B4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2D74B4" w:themeColor="accent5" w:themeTint="9a" w:themeShade="95"/>
        <w:sz w:val="22"/>
      </w:rPr>
      <w:tblPr/>
    </w:tblStylePr>
  </w:style>
  <w:style w:type="table" w:styleId="1069">
    <w:name w:val="List Table 7 Colorful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E923C"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val="5E923C"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E92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E92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val="5E923C" w:themeColor="accent6" w:themeTint="98" w:themeShade="95"/>
        <w:sz w:val="22"/>
      </w:rPr>
      <w:tblPr/>
    </w:tblStylePr>
  </w:style>
  <w:style w:type="table" w:styleId="1070">
    <w:name w:val="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1">
    <w:name w:val="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2">
    <w:name w:val="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3">
    <w:name w:val="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4">
    <w:name w:val="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5">
    <w:name w:val="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6">
    <w:name w:val="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7">
    <w:name w:val="Bordered &amp; Lined - Accent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8">
    <w:name w:val="Bordered &amp; Lined - Accent 1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79">
    <w:name w:val="Bordered &amp; Lined - Accent 2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0">
    <w:name w:val="Bordered &amp; Lined - Accent 3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1">
    <w:name w:val="Bordered &amp; Lined - Accent 4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2">
    <w:name w:val="Bordered &amp; Lined - Accent 5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3">
    <w:name w:val="Bordered &amp; Lined - Accent 6"/>
    <w:basedOn w:val="10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4">
    <w:name w:val="Bordered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5">
    <w:name w:val="Bordered - Accent 1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6">
    <w:name w:val="Bordered - Accent 2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7">
    <w:name w:val="Bordered - Accent 3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8">
    <w:name w:val="Bordered - Accent 4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89">
    <w:name w:val="Bordered - Accent 5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0">
    <w:name w:val="Bordered - Accent 6"/>
    <w:basedOn w:val="10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109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1092">
    <w:name w:val="Table Grid"/>
    <w:basedOn w:val="109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customStyle="1" w:styleId="1093">
    <w:name w:val="Сетка таблицы1"/>
    <w:basedOn w:val="1091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login.consultant.ru/link/?req=doc&amp;base=LAW&amp;n=494318&amp;dst=100008" TargetMode="Externa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header" Target="header7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2A287-4659-4C97-B954-C9413833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AlterOffice/3.4.0.8$Linux_X86_64 LibreOffice_project/8f3f3c847f0b8d6fea24e251d3d8ed4f23cbe23c</Application>
  <AppVersion>15.0000</AppVersion>
  <Pages>12</Pages>
  <Words>1379</Words>
  <Characters>9555</Characters>
  <CharactersWithSpaces>10627</CharactersWithSpaces>
  <Paragraphs>243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2024-09-20T07:14:00Z</dcterms:created>
  <dc:creator>Быстров Олег Геннадьевич</dc:creator>
  <dc:description/>
  <dc:language>ru-RU</dc:language>
  <cp:lastModifiedBy/>
  <dcterms:modified xsi:type="dcterms:W3CDTF">2026-06-01T16:54:25Z</dcterms:modified>
  <cp:revision>82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